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r>
        <w:rPr>
          <w:rStyle w:val="CharStyle3"/>
          <w:smallCaps/>
        </w:rPr>
        <w:t>семейный капитал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540"/>
        <w:jc w:val="both"/>
      </w:pPr>
      <w:r>
        <w:rPr>
          <w:rStyle w:val="CharStyle5"/>
        </w:rPr>
        <w:t xml:space="preserve">Указом Президента Республики Беларусь от 18 сентября 2019 г. № 345 «О семейном капитале» установлено, что с 1 января 2020 г. семьям при рождении (усыновлении, удочерении) в 2020-2029 годах третьего или последующих детей предоставляется единовременная государственная поддержка в форме безналичных денежных средств (далее </w:t>
      </w:r>
      <w:r>
        <w:rPr>
          <w:rStyle w:val="CharStyle5"/>
          <w:color w:val="6C7174"/>
        </w:rPr>
        <w:t xml:space="preserve">- </w:t>
      </w:r>
      <w:r>
        <w:rPr>
          <w:rStyle w:val="CharStyle5"/>
        </w:rPr>
        <w:t>семейный капитал) в размере 22 500 рублей. Начиная с 1 января 2021 г. размер семейного капитала подлежит ежегодной индексации.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540"/>
        <w:jc w:val="both"/>
      </w:pPr>
      <w:r>
        <w:rPr>
          <w:rStyle w:val="CharStyle5"/>
        </w:rPr>
        <w:t xml:space="preserve">Таким образом, на детей, родившихся (усыновленных, удочеренных) </w:t>
      </w:r>
      <w:r>
        <w:rPr>
          <w:rStyle w:val="CharStyle5"/>
          <w:b/>
          <w:bCs/>
        </w:rPr>
        <w:t>с 1 января по 31 декабря 2025 г. размер семейного капитала составляет 33 275 рублей.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540"/>
        <w:jc w:val="both"/>
      </w:pPr>
      <w:r>
        <w:rPr>
          <w:rStyle w:val="CharStyle5"/>
        </w:rPr>
        <w:t>Согласно Положению о предоставлении семейного капитала, утвержденного Указом Президента Республики Беларусь от 18 сентября 2019 г. № 345, средства семейного капитала могут быть использованы досрочно (независимо от времени, прошедшего с даты назначения семейного капитала) в Республике Беларусь в полном объеме или по частям в безналичном порядке на следующие цели: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540"/>
        <w:jc w:val="both"/>
      </w:pPr>
      <w:r>
        <w:rPr>
          <w:rStyle w:val="CharStyle5"/>
        </w:rPr>
        <w:t>возведение, реконструкцию, приобретение одноквартирных жилых домов, квартир в многоквартирных или блокированных жилых домах, приобретение доли (долей) в праве собственности на них, возврат (погашение) кредитов, займов организаций, предоставленных на указанные цели (в том числе на основании договоров о переводе долга, о приеме задолженности по таким кредитам, о рефинансировании таких кредитов), и уплату процентов за пользование этими кредитами, займами членом (членами) семьи;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540"/>
        <w:jc w:val="both"/>
      </w:pPr>
      <w:r>
        <w:rPr>
          <w:rStyle w:val="CharStyle5"/>
        </w:rPr>
        <w:t>получение на платной основе членом (членами) семьи общего высшего образования, специального высшего образования, среднего специального образования в государственных учреждениях образования Республики Беларусь, учреждениях высшего и среднего специального образования потребительской кооперации Республики Беларусь и учреждениях высшего образования Федерации профсоюзов Беларуси;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540"/>
        <w:jc w:val="both"/>
      </w:pPr>
      <w:r>
        <w:rPr>
          <w:rStyle w:val="CharStyle5"/>
        </w:rPr>
        <w:t>получение членом (членами) семьи, нуждающимся (нуждающимися) в получении платных медицинских услуг, следующих платных медицинских услуг, оказываемых государственными организациями здравоохранения: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540"/>
        <w:jc w:val="both"/>
      </w:pPr>
      <w:r>
        <w:rPr>
          <w:rStyle w:val="CharStyle5"/>
        </w:rPr>
        <w:t>предоставление для медицинского применения иных медицинских изделий вместо включенных в Республиканский формуляр медицинских изделий при выполнении сложных и высокотехнологичных вмешательств в кардиохирургии, нейрохирургии, онкологии, ортопедии;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540"/>
        <w:jc w:val="both"/>
      </w:pPr>
      <w:r>
        <w:rPr>
          <w:rStyle w:val="CharStyle5"/>
        </w:rPr>
        <w:t>предоставления для медицинского применения лекарственных средств, за исключением тех, которыми граждане обеспечиваются за счет средств республиканского и (или) местных бюджетов в соответствии с законодательством о здравоохранении;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540"/>
        <w:jc w:val="both"/>
      </w:pPr>
      <w:r>
        <w:rPr>
          <w:rStyle w:val="CharStyle5"/>
        </w:rPr>
        <w:t>стоматологические услуги (протезирование зубов, дентальная имплантация с последующим протезированием, ортодонтическая коррекция прикуса);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540"/>
        <w:jc w:val="both"/>
      </w:pPr>
      <w:r>
        <w:rPr>
          <w:rStyle w:val="CharStyle5"/>
        </w:rPr>
        <w:t>приобретение членом (членами) семьи либо члену (членам) семьи, которые являются инвалидами, в том числе детьми-инвалидами в возрасте до 18 лет, с нарушением зрения, опорно-двигательного аппарата, товаров, предназначенных для социальной реабилитации и интеграции инвалидов в общество.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540"/>
        <w:jc w:val="both"/>
      </w:pPr>
      <w:r>
        <w:rPr>
          <w:rStyle w:val="CharStyle5"/>
        </w:rPr>
        <w:t xml:space="preserve">По вопросам назначения семейного капитала и досрочного распоряжения средствами семейного капитала необходимо обращаться в </w:t>
      </w:r>
      <w:r>
        <w:rPr>
          <w:rStyle w:val="CharStyle5"/>
          <w:b/>
          <w:bCs/>
        </w:rPr>
        <w:t>службу «одно окно» Борисовского районного исполнительного комитета по адресу: г. Борисов, пр. Революции, д. 6.</w:t>
      </w:r>
    </w:p>
    <w:sectPr>
      <w:footnotePr>
        <w:pos w:val="pageBottom"/>
        <w:numFmt w:val="decimal"/>
        <w:numRestart w:val="continuous"/>
      </w:footnotePr>
      <w:pgSz w:w="11900" w:h="16840"/>
      <w:pgMar w:top="507" w:right="597" w:bottom="507" w:left="1881" w:header="0" w:footer="3" w:gutter="0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Courier New" w:eastAsia="Courier New" w:hAnsi="Courier New" w:cs="Courier New"/>
        <w:sz w:val="24"/>
        <w:szCs w:val="24"/>
        <w:lang w:val="ru-RU" w:eastAsia="ru-RU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auto"/>
      <w:lang w:val="ru-RU" w:eastAsia="ru-RU"/>
    </w:rPr>
  </w:style>
  <w:style w:type="character" w:default="1" w:styleId="DefaultParagraphFont">
    <w:name w:val="Default Paragraph Font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auto"/>
      <w:lang w:val="ru-RU" w:eastAsia="ru-RU"/>
    </w:rPr>
  </w:style>
  <w:style w:type="character" w:customStyle="1" w:styleId="CharStyle3">
    <w:name w:val="Основной текст (2)_"/>
    <w:basedOn w:val="DefaultParagraphFont"/>
    <w:link w:val="Style2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404246"/>
      <w:sz w:val="52"/>
      <w:szCs w:val="52"/>
      <w:u w:val="none"/>
    </w:rPr>
  </w:style>
  <w:style w:type="character" w:customStyle="1" w:styleId="CharStyle5">
    <w:name w:val="Основной текст_"/>
    <w:basedOn w:val="DefaultParagraphFont"/>
    <w:link w:val="Styl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04246"/>
      <w:sz w:val="26"/>
      <w:szCs w:val="26"/>
      <w:u w:val="none"/>
    </w:rPr>
  </w:style>
  <w:style w:type="paragraph" w:customStyle="1" w:styleId="Style2">
    <w:name w:val="Основной текст (2)"/>
    <w:basedOn w:val="Normal"/>
    <w:link w:val="CharStyle3"/>
    <w:pPr>
      <w:widowControl w:val="0"/>
      <w:shd w:val="clear" w:color="auto" w:fill="auto"/>
      <w:spacing w:after="420"/>
      <w:jc w:val="center"/>
    </w:pPr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404246"/>
      <w:sz w:val="52"/>
      <w:szCs w:val="52"/>
      <w:u w:val="none"/>
    </w:rPr>
  </w:style>
  <w:style w:type="paragraph" w:customStyle="1" w:styleId="Style4">
    <w:name w:val="Основной текст"/>
    <w:basedOn w:val="Normal"/>
    <w:link w:val="CharStyle5"/>
    <w:pPr>
      <w:widowControl w:val="0"/>
      <w:shd w:val="clear" w:color="auto" w:fill="auto"/>
      <w:ind w:firstLine="400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04246"/>
      <w:sz w:val="26"/>
      <w:szCs w:val="26"/>
      <w:u w:val="none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/Relationships>
</file>